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5C" w:rsidRPr="00E073D2" w:rsidRDefault="0083655C" w:rsidP="00A01660">
      <w:pPr>
        <w:shd w:val="clear" w:color="auto" w:fill="FFFFFF"/>
        <w:spacing w:after="120" w:line="240" w:lineRule="auto"/>
        <w:textAlignment w:val="baseline"/>
        <w:outlineLvl w:val="0"/>
        <w:rPr>
          <w:rFonts w:ascii="Arial" w:hAnsi="Arial" w:cs="Arial"/>
          <w:caps/>
          <w:color w:val="111111"/>
          <w:kern w:val="36"/>
          <w:sz w:val="36"/>
          <w:szCs w:val="36"/>
          <w:lang w:eastAsia="ru-RU"/>
        </w:rPr>
      </w:pPr>
      <w:bookmarkStart w:id="0" w:name="_GoBack"/>
      <w:r w:rsidRPr="00E073D2">
        <w:rPr>
          <w:rFonts w:ascii="Arial" w:hAnsi="Arial" w:cs="Arial"/>
          <w:caps/>
          <w:color w:val="111111"/>
          <w:kern w:val="36"/>
          <w:sz w:val="36"/>
          <w:szCs w:val="36"/>
          <w:lang w:eastAsia="ru-RU"/>
        </w:rPr>
        <w:t>ВЫПИСКА ИЗ ПРИКАЗА ПЕРВОГО ЗАМЕСТИТЕЛЯ НАЧАЛЬНИКА БЕЛОРУССКОЙ ЖЕЛЕЗНОЙ ДОРОГИ ОТ 01.03.2018 № 197НЗ ОБ ИЗМЕНЕНИИ ТАРИФОВ НА ПЕРЕВОЗКИ ГРУЗОВ</w:t>
      </w:r>
    </w:p>
    <w:p w:rsidR="0083655C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val="en-US" w:eastAsia="ru-RU"/>
        </w:rPr>
      </w:pPr>
    </w:p>
    <w:p w:rsidR="0083655C" w:rsidRPr="00E073D2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1. Установить с 25.02.2018 по 31.12.2018 фиксированные тарифы, коэффициенты к тарифам, исчисляемым в соответствии с постановлением Министерства антимонопольного регулирования и торговли Республики Беларусь от 22.01.2018 № 8 (приложение  к приказу).</w:t>
      </w:r>
    </w:p>
    <w:p w:rsidR="0083655C" w:rsidRPr="00E073D2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2. Установить с 01.03.2018 по 31.12.2018 на перевозки, исчисляемые в соответствии с Тарифной политикой железных дорог государств - участников СНГ на перевозки грузов в международном сообщении на 2018 фрахтовый год (далее - Тарифная политика), злаков, семян, овощей сушеных (ГНГ 1001 - 1008, 1202 - 1209, 0713) в вагонах перевозчика, грузоотправителя, грузополучателя по маршрутам Тереховка (эксп.)/ Терюха (эксп.)/ Словечно (эксп) - Бигосово (эксп.) через порты Латвии, Эстонии для вывоза водным транспортом - фиксированную тарифную ставку 12,35 долл. США/тонну.</w:t>
      </w:r>
    </w:p>
    <w:p w:rsidR="0083655C" w:rsidRPr="00E073D2" w:rsidRDefault="0083655C" w:rsidP="00A01660">
      <w:p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Справочно.</w:t>
      </w:r>
    </w:p>
    <w:p w:rsidR="0083655C" w:rsidRPr="00E073D2" w:rsidRDefault="0083655C" w:rsidP="00A01660">
      <w:p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Ранее действовавшие фиксированные тарифные ставки и коэффициенты к тарифам , установленные постановлением Министерства экономики Республики Беларусь от 23.04.2013 №26, отменены в связи со вступлением в действие</w:t>
      </w: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 </w:t>
      </w:r>
      <w:r w:rsidRPr="00E073D2">
        <w:rPr>
          <w:rFonts w:ascii="inherit" w:hAnsi="inherit" w:cs="Arial"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постановления Министерства</w:t>
      </w: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 </w:t>
      </w:r>
      <w:r w:rsidRPr="00E073D2">
        <w:rPr>
          <w:rFonts w:ascii="inherit" w:hAnsi="inherit" w:cs="Arial"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антимонопольного регулирования и торговли Республики Беларусь № 8</w:t>
      </w: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 </w:t>
      </w:r>
      <w:r w:rsidRPr="00E073D2">
        <w:rPr>
          <w:rFonts w:ascii="inherit" w:hAnsi="inherit" w:cs="Arial"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от 22.01.2018 г</w:t>
      </w:r>
      <w:hyperlink r:id="rId4" w:history="1">
        <w:r w:rsidRPr="00E073D2">
          <w:rPr>
            <w:rFonts w:ascii="inherit" w:hAnsi="inherit" w:cs="Arial"/>
            <w:i/>
            <w:iCs/>
            <w:color w:val="2E4F9D"/>
            <w:sz w:val="21"/>
            <w:szCs w:val="21"/>
            <w:bdr w:val="none" w:sz="0" w:space="0" w:color="auto" w:frame="1"/>
            <w:lang w:eastAsia="ru-RU"/>
          </w:rPr>
          <w:t>.</w:t>
        </w:r>
      </w:hyperlink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 </w:t>
      </w:r>
      <w:r w:rsidRPr="00E073D2">
        <w:rPr>
          <w:rFonts w:ascii="inherit" w:hAnsi="inherit" w:cs="Arial"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с 25.02.2018 г.</w:t>
      </w:r>
    </w:p>
    <w:p w:rsidR="0083655C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b/>
          <w:bCs/>
          <w:color w:val="333333"/>
          <w:sz w:val="21"/>
          <w:szCs w:val="21"/>
          <w:lang w:val="en-US" w:eastAsia="ru-RU"/>
        </w:rPr>
      </w:pPr>
    </w:p>
    <w:p w:rsidR="0083655C" w:rsidRPr="00E073D2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b/>
          <w:bCs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b/>
          <w:bCs/>
          <w:color w:val="333333"/>
          <w:sz w:val="21"/>
          <w:szCs w:val="21"/>
          <w:lang w:eastAsia="ru-RU"/>
        </w:rPr>
        <w:t>На основании приказа от 01.03.2018 №197НЗ внесено дополнение в пункт 10 раздела 2 приложения 3 Тарифной политики</w:t>
      </w:r>
    </w:p>
    <w:p w:rsidR="0083655C" w:rsidRPr="00E073D2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b/>
          <w:bCs/>
          <w:color w:val="333333"/>
          <w:sz w:val="21"/>
          <w:szCs w:val="21"/>
          <w:lang w:eastAsia="ru-RU"/>
        </w:rPr>
      </w:pPr>
    </w:p>
    <w:p w:rsidR="0083655C" w:rsidRPr="00E073D2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b/>
          <w:bCs/>
          <w:color w:val="333333"/>
          <w:sz w:val="21"/>
          <w:szCs w:val="21"/>
          <w:lang w:eastAsia="ru-RU"/>
        </w:rPr>
        <w:br w:type="page"/>
      </w: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Приложение  к приказу  от 01.03.2018 № 197НЗ</w:t>
      </w:r>
    </w:p>
    <w:p w:rsidR="0083655C" w:rsidRPr="00E073D2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E073D2">
        <w:rPr>
          <w:rFonts w:ascii="inherit" w:hAnsi="inherit" w:cs="Arial"/>
          <w:color w:val="333333"/>
          <w:sz w:val="21"/>
          <w:szCs w:val="21"/>
          <w:lang w:eastAsia="ru-RU"/>
        </w:rPr>
        <w:t>Фиксированные тарифы, коэффициенты на перевозки по направлениям (маршрутам) к тарифам, исчисляемым в соответствии с постановлением Министерства антимонопольного регулирования и торговли Республики Беларусь от 22.01.2018 № 8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513"/>
        <w:gridCol w:w="1937"/>
        <w:gridCol w:w="3252"/>
        <w:gridCol w:w="6228"/>
      </w:tblGrid>
      <w:tr w:rsidR="0083655C" w:rsidRPr="00E073D2" w:rsidTr="00E073D2">
        <w:trPr>
          <w:trHeight w:val="1965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Наименование груза, условие предоставления фиксированного тарифа, коэффициента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Код ЕТСНГ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Маршрут (направление) перевозки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Фиксированный тариф на перевозки грузов в вагонах грузоотправителей, грузополучателей, (долл.США/т); коэффициент (независимо от принадлежности вагона)</w:t>
            </w:r>
          </w:p>
        </w:tc>
      </w:tr>
      <w:tr w:rsidR="0083655C" w:rsidRPr="00E073D2" w:rsidTr="00E073D2">
        <w:trPr>
          <w:trHeight w:val="108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Нефтепродукты, смолы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(в вагонах - цистернах)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211-215, 221-225, 471141, 471156, 226021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8,5</w:t>
            </w:r>
          </w:p>
        </w:tc>
      </w:tr>
      <w:tr w:rsidR="0083655C" w:rsidRPr="00E073D2" w:rsidTr="00E073D2">
        <w:trPr>
          <w:trHeight w:val="87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Нефть сырая, газовый конденсат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(в вагонах - цистернах)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201, 226106, 226069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9,0</w:t>
            </w:r>
          </w:p>
        </w:tc>
      </w:tr>
      <w:tr w:rsidR="0083655C" w:rsidRPr="00E073D2" w:rsidTr="00E073D2">
        <w:trPr>
          <w:trHeight w:val="141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Нефть и нефтепродукты, газовый конденсат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(в вагонах - цистернах)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201, 211-215, 221-225, 226021, 226069, 226106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Езерище - Гудогай - Езерище 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8,0</w:t>
            </w:r>
          </w:p>
        </w:tc>
      </w:tr>
      <w:tr w:rsidR="0083655C" w:rsidRPr="00E073D2" w:rsidTr="00E073D2">
        <w:trPr>
          <w:trHeight w:val="555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Газы сжиженные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(в вагонах - цистернах)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226 (кроме 226106, 226069, 226021)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Осиновка-Гудогай</w:t>
            </w:r>
          </w:p>
        </w:tc>
        <w:tc>
          <w:tcPr>
            <w:tcW w:w="146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16,0</w:t>
            </w:r>
          </w:p>
        </w:tc>
      </w:tr>
      <w:tr w:rsidR="0083655C" w:rsidRPr="00E073D2" w:rsidTr="00E073D2">
        <w:trPr>
          <w:trHeight w:val="570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Езерище-Гудогай</w:t>
            </w:r>
          </w:p>
        </w:tc>
        <w:tc>
          <w:tcPr>
            <w:tcW w:w="146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</w:tr>
      <w:tr w:rsidR="0083655C" w:rsidRPr="00E073D2" w:rsidTr="00E073D2">
        <w:trPr>
          <w:trHeight w:val="90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Черные металлы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со ст. Котел Юго-Восточной ж.д.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312, 314, 3 15, 322, 324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10,6</w:t>
            </w:r>
          </w:p>
        </w:tc>
      </w:tr>
      <w:tr w:rsidR="0083655C" w:rsidRPr="00E073D2" w:rsidTr="00E073D2">
        <w:trPr>
          <w:trHeight w:val="2400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Черные металлы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со ст. Новолипецк Юго-Восточной ж.д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312, 314, 315, 322, 324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10,1</w:t>
            </w:r>
          </w:p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9,6 (при консолидированном объеме перевозок по данному маршруту за 2 предыдущих месяца 120 тыс.тонн и более*)</w:t>
            </w:r>
          </w:p>
        </w:tc>
      </w:tr>
      <w:tr w:rsidR="0083655C" w:rsidRPr="00E073D2" w:rsidTr="00E073D2">
        <w:trPr>
          <w:trHeight w:val="1125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3595" w:type="pct"/>
            <w:gridSpan w:val="3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 xml:space="preserve">* Фиксированный тариф 9,6 долл.США/т на перевозку черных металлов в марте - апреле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073D2">
                <w:rPr>
                  <w:rFonts w:ascii="inherit" w:hAnsi="inherit"/>
                  <w:sz w:val="20"/>
                  <w:szCs w:val="20"/>
                  <w:lang w:eastAsia="ru-RU"/>
                </w:rPr>
                <w:t>2018 г</w:t>
              </w:r>
            </w:smartTag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 xml:space="preserve">. устанавливается в случае  выполнения объемов перевозок (120 тыс. тонн и более) в январе - феврале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073D2">
                <w:rPr>
                  <w:rFonts w:ascii="inherit" w:hAnsi="inherit"/>
                  <w:sz w:val="20"/>
                  <w:szCs w:val="20"/>
                  <w:lang w:eastAsia="ru-RU"/>
                </w:rPr>
                <w:t>2018 г</w:t>
              </w:r>
            </w:smartTag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.</w:t>
            </w:r>
          </w:p>
        </w:tc>
      </w:tr>
      <w:tr w:rsidR="0083655C" w:rsidRPr="00E073D2" w:rsidTr="00E073D2">
        <w:trPr>
          <w:trHeight w:val="555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Черные металлы, ферросплавы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312 - 315, 322, 324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 - 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13,0</w:t>
            </w:r>
          </w:p>
        </w:tc>
      </w:tr>
      <w:tr w:rsidR="0083655C" w:rsidRPr="00E073D2" w:rsidTr="00E073D2">
        <w:trPr>
          <w:trHeight w:val="555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 - 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12,5</w:t>
            </w:r>
          </w:p>
        </w:tc>
      </w:tr>
      <w:tr w:rsidR="0083655C" w:rsidRPr="00E073D2" w:rsidTr="00E073D2">
        <w:trPr>
          <w:trHeight w:val="57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Чугун, лом черных металлов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311, 316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6,5</w:t>
            </w:r>
          </w:p>
        </w:tc>
      </w:tr>
      <w:tr w:rsidR="0083655C" w:rsidRPr="00E073D2" w:rsidTr="00E073D2">
        <w:trPr>
          <w:trHeight w:val="2265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Порожние вагоны грузоотправителей, грузополучателей, следующие после выгрузки черных металлов на ст.Калининград - Сортировочный (эксп.) Калининградской ж.д. при наличии в графе 3 или 15 накладной СМГС отметки «Вагон из-под черных металлов»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Гудогай – Осиновка/ Закопытье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0,5</w:t>
            </w:r>
          </w:p>
        </w:tc>
      </w:tr>
      <w:tr w:rsidR="0083655C" w:rsidRPr="00E073D2" w:rsidTr="00E073D2">
        <w:trPr>
          <w:trHeight w:val="405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Рельсы, трубы из черных металлов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321, 323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Закопытье-Гудогай</w:t>
            </w:r>
          </w:p>
        </w:tc>
        <w:tc>
          <w:tcPr>
            <w:tcW w:w="146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0,6</w:t>
            </w:r>
          </w:p>
        </w:tc>
      </w:tr>
      <w:tr w:rsidR="0083655C" w:rsidRPr="00E073D2" w:rsidTr="00E073D2">
        <w:trPr>
          <w:trHeight w:val="420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 - Гудогай</w:t>
            </w:r>
          </w:p>
        </w:tc>
        <w:tc>
          <w:tcPr>
            <w:tcW w:w="146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</w:tr>
      <w:tr w:rsidR="0083655C" w:rsidRPr="00E073D2" w:rsidTr="00E073D2">
        <w:trPr>
          <w:trHeight w:val="420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Удобрения 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433 - 436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6,8</w:t>
            </w:r>
          </w:p>
        </w:tc>
      </w:tr>
      <w:tr w:rsidR="0083655C" w:rsidRPr="00E073D2" w:rsidTr="00E073D2">
        <w:trPr>
          <w:trHeight w:val="405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8,2</w:t>
            </w:r>
          </w:p>
        </w:tc>
      </w:tr>
      <w:tr w:rsidR="0083655C" w:rsidRPr="00E073D2" w:rsidTr="00E073D2">
        <w:trPr>
          <w:trHeight w:val="705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Зерновые грузы, семена масленичных культур, солод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011 - 015, 017, 018, 021079, 021083, 021098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 - Гудогай - Осиновка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7,5</w:t>
            </w:r>
          </w:p>
        </w:tc>
      </w:tr>
      <w:tr w:rsidR="0083655C" w:rsidRPr="00E073D2" w:rsidTr="00E073D2">
        <w:trPr>
          <w:trHeight w:val="555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Закопытье- Гудогай - Закопытье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8,6</w:t>
            </w:r>
          </w:p>
        </w:tc>
      </w:tr>
      <w:tr w:rsidR="0083655C" w:rsidRPr="00E073D2" w:rsidTr="00E073D2">
        <w:trPr>
          <w:trHeight w:val="570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Масла растительные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(в вагонах - цистернах)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Гудогай - Осиновка - Гудогай</w:t>
            </w:r>
          </w:p>
        </w:tc>
        <w:tc>
          <w:tcPr>
            <w:tcW w:w="146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0,53</w:t>
            </w:r>
          </w:p>
        </w:tc>
      </w:tr>
      <w:tr w:rsidR="0083655C" w:rsidRPr="00E073D2" w:rsidTr="00E073D2">
        <w:trPr>
          <w:trHeight w:val="540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 -Гудогай - Закопытье</w:t>
            </w:r>
          </w:p>
        </w:tc>
        <w:tc>
          <w:tcPr>
            <w:tcW w:w="146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</w:tr>
      <w:tr w:rsidR="0083655C" w:rsidRPr="00E073D2" w:rsidTr="00E073D2">
        <w:trPr>
          <w:trHeight w:val="69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Жмыхи, шрот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Закопытье -Гудогай - Закопытье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8,0</w:t>
            </w:r>
          </w:p>
        </w:tc>
      </w:tr>
      <w:tr w:rsidR="0083655C" w:rsidRPr="00E073D2" w:rsidTr="00E073D2">
        <w:trPr>
          <w:trHeight w:val="435"/>
        </w:trPr>
        <w:tc>
          <w:tcPr>
            <w:tcW w:w="1405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Жмыхи, шрот с/на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ст. Шиповка,</w:t>
            </w:r>
          </w:p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Шиповка (эксп.) Калининградской ж.д.</w:t>
            </w:r>
          </w:p>
        </w:tc>
        <w:tc>
          <w:tcPr>
            <w:tcW w:w="87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718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 - Гудогай - Осиновка</w:t>
            </w:r>
          </w:p>
        </w:tc>
      </w:tr>
      <w:tr w:rsidR="0083655C" w:rsidRPr="00E073D2" w:rsidTr="00E073D2">
        <w:trPr>
          <w:trHeight w:val="540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до 200 тыс. тонн включительно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7,0</w:t>
            </w:r>
          </w:p>
        </w:tc>
      </w:tr>
      <w:tr w:rsidR="0083655C" w:rsidRPr="00E073D2" w:rsidTr="00E073D2">
        <w:trPr>
          <w:trHeight w:val="975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свыше 200 тыс. тонн до 500 тыс. тонн включительно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6,5</w:t>
            </w:r>
          </w:p>
        </w:tc>
      </w:tr>
      <w:tr w:rsidR="0083655C" w:rsidRPr="00E073D2" w:rsidTr="00E073D2">
        <w:trPr>
          <w:trHeight w:val="405"/>
        </w:trPr>
        <w:tc>
          <w:tcPr>
            <w:tcW w:w="1405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свыше 500 тыс. тонн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6,0</w:t>
            </w:r>
          </w:p>
        </w:tc>
      </w:tr>
      <w:tr w:rsidR="0083655C" w:rsidRPr="00E073D2" w:rsidTr="00E073D2">
        <w:trPr>
          <w:trHeight w:val="42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Асбест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304019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0,75</w:t>
            </w:r>
          </w:p>
        </w:tc>
      </w:tr>
      <w:tr w:rsidR="0083655C" w:rsidRPr="00E073D2" w:rsidTr="00E073D2">
        <w:trPr>
          <w:trHeight w:val="42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Глина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Осиновка/ Закопытье - 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0,7</w:t>
            </w:r>
          </w:p>
        </w:tc>
      </w:tr>
      <w:tr w:rsidR="0083655C" w:rsidRPr="00E073D2" w:rsidTr="00E073D2">
        <w:trPr>
          <w:trHeight w:val="42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Кирпич, доломит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302, 303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Осиновка/ Закопытье-Гудогай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0,4</w:t>
            </w:r>
          </w:p>
        </w:tc>
      </w:tr>
      <w:tr w:rsidR="0083655C" w:rsidRPr="00E073D2" w:rsidTr="00E073D2">
        <w:trPr>
          <w:trHeight w:val="420"/>
        </w:trPr>
        <w:tc>
          <w:tcPr>
            <w:tcW w:w="1405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Эфиры, ацетали</w:t>
            </w: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br/>
              <w:t>(в вагонах – цистернах)</w:t>
            </w:r>
          </w:p>
        </w:tc>
        <w:tc>
          <w:tcPr>
            <w:tcW w:w="877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Осиновка-Гудогай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17,0</w:t>
            </w:r>
          </w:p>
        </w:tc>
      </w:tr>
      <w:tr w:rsidR="0083655C" w:rsidRPr="00E073D2" w:rsidTr="00E073D2">
        <w:trPr>
          <w:trHeight w:val="720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Грузы в специализированном подвижном составе для перевозки автомобилей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Гудогай-Осиновка - 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49,0</w:t>
            </w:r>
          </w:p>
        </w:tc>
      </w:tr>
      <w:tr w:rsidR="0083655C" w:rsidRPr="00E073D2" w:rsidTr="00E073D2">
        <w:trPr>
          <w:trHeight w:val="975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Специализированный подвижной состав для перевозки автомобилей в порожнем состоянии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Осиновка - 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0,75</w:t>
            </w:r>
          </w:p>
        </w:tc>
      </w:tr>
      <w:tr w:rsidR="0083655C" w:rsidRPr="00E073D2" w:rsidTr="00E073D2">
        <w:trPr>
          <w:trHeight w:val="420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Перевозки, кроме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Езерище - Гудогай - Езерище</w:t>
            </w:r>
          </w:p>
        </w:tc>
        <w:tc>
          <w:tcPr>
            <w:tcW w:w="1467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0,7</w:t>
            </w:r>
          </w:p>
        </w:tc>
      </w:tr>
      <w:tr w:rsidR="0083655C" w:rsidRPr="00E073D2" w:rsidTr="00E073D2">
        <w:trPr>
          <w:trHeight w:val="525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 - грузов 081, 082, 231-236, 245, 253, 281</w:t>
            </w:r>
          </w:p>
        </w:tc>
        <w:tc>
          <w:tcPr>
            <w:tcW w:w="1250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46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</w:tr>
      <w:tr w:rsidR="0083655C" w:rsidRPr="00E073D2" w:rsidTr="00E073D2">
        <w:trPr>
          <w:trHeight w:val="945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 - грузов, на которые установлены фиксированные тарифы или коэффициенты</w:t>
            </w:r>
          </w:p>
        </w:tc>
        <w:tc>
          <w:tcPr>
            <w:tcW w:w="1250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467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center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</w:tr>
      <w:tr w:rsidR="0083655C" w:rsidRPr="00E073D2" w:rsidTr="00E073D2">
        <w:trPr>
          <w:trHeight w:val="420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Грузы в рефрижераторных вагонах, вагонах-термосах, ИВ-термосах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Гудогай - Осиновка/ Закопытье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0,7</w:t>
            </w:r>
          </w:p>
        </w:tc>
      </w:tr>
      <w:tr w:rsidR="0083655C" w:rsidRPr="00E073D2" w:rsidTr="00E073D2">
        <w:trPr>
          <w:trHeight w:val="420"/>
        </w:trPr>
        <w:tc>
          <w:tcPr>
            <w:tcW w:w="2282" w:type="pct"/>
            <w:gridSpan w:val="2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Контейнер грузоотправителя, грузополучателя на вагоне грузоотправителя, грузополучателя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E4E4E4"/>
              <w:right w:val="nil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Гудогай – Осиновка/ Закопытье/Езерище - Гудогай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коэф-т 0,71</w:t>
            </w:r>
          </w:p>
        </w:tc>
      </w:tr>
      <w:tr w:rsidR="0083655C" w:rsidRPr="00E073D2" w:rsidTr="00E073D2">
        <w:trPr>
          <w:trHeight w:val="975"/>
        </w:trPr>
        <w:tc>
          <w:tcPr>
            <w:tcW w:w="2282" w:type="pct"/>
            <w:gridSpan w:val="2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shd w:val="clear" w:color="auto" w:fill="EBF0F8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Контрейлер (прицеп, полуприцеп) габаритный и имеющий негабаритность в верхней зоне на специализированной железнодорожной платформе грузоотправителя, грузополучателя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sz="6" w:space="0" w:color="E4E4E4"/>
              <w:right w:val="nil"/>
            </w:tcBorders>
            <w:shd w:val="clear" w:color="auto" w:fill="EBF0F8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Гудогай - Осиновка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shd w:val="clear" w:color="auto" w:fill="EBF0F8"/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E073D2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257,0 долл.США – за вагон с груженым прицепом, полуприцепом</w:t>
            </w:r>
          </w:p>
        </w:tc>
      </w:tr>
      <w:tr w:rsidR="0083655C" w:rsidRPr="0035632C" w:rsidTr="00E073D2">
        <w:trPr>
          <w:trHeight w:val="420"/>
        </w:trPr>
        <w:tc>
          <w:tcPr>
            <w:tcW w:w="2282" w:type="pct"/>
            <w:gridSpan w:val="2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vMerge/>
            <w:tcBorders>
              <w:top w:val="nil"/>
              <w:left w:val="nil"/>
              <w:bottom w:val="single" w:sz="6" w:space="0" w:color="E4E4E4"/>
              <w:right w:val="nil"/>
            </w:tcBorders>
            <w:vAlign w:val="bottom"/>
          </w:tcPr>
          <w:p w:rsidR="0083655C" w:rsidRPr="00E073D2" w:rsidRDefault="0083655C" w:rsidP="00A01660">
            <w:pPr>
              <w:spacing w:after="0" w:line="240" w:lineRule="auto"/>
              <w:rPr>
                <w:rFonts w:ascii="inherit" w:hAnsi="inherit"/>
                <w:sz w:val="20"/>
                <w:szCs w:val="20"/>
                <w:lang w:eastAsia="ru-RU"/>
              </w:rPr>
            </w:pPr>
          </w:p>
        </w:tc>
        <w:tc>
          <w:tcPr>
            <w:tcW w:w="1467" w:type="pct"/>
            <w:tcBorders>
              <w:top w:val="nil"/>
              <w:left w:val="nil"/>
              <w:bottom w:val="single" w:sz="6" w:space="0" w:color="E4E4E4"/>
              <w:right w:val="nil"/>
            </w:tcBorders>
            <w:noWrap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83655C" w:rsidRPr="00A01660" w:rsidRDefault="0083655C" w:rsidP="00A01660">
            <w:pPr>
              <w:spacing w:after="312" w:line="240" w:lineRule="auto"/>
              <w:jc w:val="center"/>
              <w:textAlignment w:val="baseline"/>
              <w:rPr>
                <w:rFonts w:ascii="inherit" w:hAnsi="inherit"/>
                <w:sz w:val="20"/>
                <w:szCs w:val="20"/>
                <w:lang w:eastAsia="ru-RU"/>
              </w:rPr>
            </w:pPr>
            <w:r w:rsidRPr="00E073D2">
              <w:rPr>
                <w:rFonts w:ascii="inherit" w:hAnsi="inherit"/>
                <w:sz w:val="20"/>
                <w:szCs w:val="20"/>
                <w:lang w:eastAsia="ru-RU"/>
              </w:rPr>
              <w:t>155,0 долл.США – за вагон с порожним прицепом, полуприцепо</w:t>
            </w:r>
          </w:p>
        </w:tc>
      </w:tr>
    </w:tbl>
    <w:p w:rsidR="0083655C" w:rsidRPr="00A01660" w:rsidRDefault="0083655C" w:rsidP="00A01660">
      <w:pPr>
        <w:shd w:val="clear" w:color="auto" w:fill="FFFFFF"/>
        <w:spacing w:after="312" w:line="240" w:lineRule="auto"/>
        <w:textAlignment w:val="baseline"/>
        <w:rPr>
          <w:rFonts w:ascii="inherit" w:hAnsi="inherit" w:cs="Arial"/>
          <w:color w:val="333333"/>
          <w:sz w:val="21"/>
          <w:szCs w:val="21"/>
          <w:lang w:eastAsia="ru-RU"/>
        </w:rPr>
      </w:pPr>
      <w:r w:rsidRPr="00A01660">
        <w:rPr>
          <w:rFonts w:ascii="inherit" w:hAnsi="inherit" w:cs="Arial"/>
          <w:color w:val="333333"/>
          <w:sz w:val="21"/>
          <w:szCs w:val="21"/>
          <w:lang w:eastAsia="ru-RU"/>
        </w:rPr>
        <w:t> </w:t>
      </w:r>
      <w:bookmarkEnd w:id="0"/>
    </w:p>
    <w:sectPr w:rsidR="0083655C" w:rsidRPr="00A01660" w:rsidSect="00E073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660"/>
    <w:rsid w:val="001E32B3"/>
    <w:rsid w:val="0035632C"/>
    <w:rsid w:val="00527FD7"/>
    <w:rsid w:val="0083655C"/>
    <w:rsid w:val="00A01660"/>
    <w:rsid w:val="00D3666B"/>
    <w:rsid w:val="00E073D2"/>
    <w:rsid w:val="00EC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2B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01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166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t">
    <w:name w:val="dt"/>
    <w:basedOn w:val="Normal"/>
    <w:uiPriority w:val="99"/>
    <w:rsid w:val="00A016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A016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A01660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A0166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0166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7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2705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w.by/cargo_transportation/rates_changes/2018/03/vipiska_iz_prikaza_pervogo_za/&amp;IJW000_8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6</Pages>
  <Words>803</Words>
  <Characters>4581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Semen</cp:lastModifiedBy>
  <cp:revision>3</cp:revision>
  <dcterms:created xsi:type="dcterms:W3CDTF">2018-03-01T15:44:00Z</dcterms:created>
  <dcterms:modified xsi:type="dcterms:W3CDTF">2018-03-01T22:38:00Z</dcterms:modified>
</cp:coreProperties>
</file>